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4E0" w:rsidRDefault="005074B2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EC191E">
        <w:rPr>
          <w:rFonts w:ascii="Arial" w:hAnsi="Arial" w:cs="Arial"/>
          <w:b/>
          <w:bCs/>
          <w:sz w:val="24"/>
          <w:szCs w:val="24"/>
        </w:rPr>
        <w:t>3</w:t>
      </w:r>
      <w:r w:rsidR="000637CA">
        <w:rPr>
          <w:rFonts w:ascii="Arial" w:hAnsi="Arial" w:cs="Arial"/>
          <w:b/>
          <w:bCs/>
          <w:sz w:val="24"/>
          <w:szCs w:val="24"/>
        </w:rPr>
        <w:t>339</w:t>
      </w:r>
    </w:p>
    <w:p w:rsidR="00E124E0" w:rsidRDefault="005074B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0070C0"/>
        </w:rPr>
        <w:t>(Revision of S2-240</w:t>
      </w:r>
      <w:r w:rsidR="000637CA">
        <w:rPr>
          <w:rFonts w:ascii="Arial" w:hAnsi="Arial" w:cs="Arial"/>
          <w:b/>
          <w:bCs/>
          <w:color w:val="0070C0"/>
        </w:rPr>
        <w:t>3054</w:t>
      </w:r>
      <w:r>
        <w:rPr>
          <w:rFonts w:ascii="Arial" w:hAnsi="Arial" w:cs="Arial"/>
          <w:b/>
          <w:bCs/>
          <w:color w:val="0070C0"/>
        </w:rPr>
        <w:t>)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Mobile, KDDI, Lenovo, vivo, Huawei, OPPO</w:t>
      </w:r>
      <w:r>
        <w:rPr>
          <w:rFonts w:ascii="Arial" w:hAnsi="Arial" w:cs="Arial" w:hint="eastAsia"/>
          <w:b/>
          <w:lang w:val="en-US" w:eastAsia="zh-CN"/>
        </w:rPr>
        <w:t>, NTT DOCOMO, Apple, ETRI, Ericsson</w:t>
      </w:r>
      <w:r w:rsidR="00055D05">
        <w:rPr>
          <w:rFonts w:ascii="Arial" w:hAnsi="Arial" w:cs="Arial"/>
          <w:b/>
          <w:lang w:val="en-US" w:eastAsia="zh-CN"/>
        </w:rPr>
        <w:t>, KDDI</w:t>
      </w:r>
      <w:r w:rsidR="00374421">
        <w:rPr>
          <w:rFonts w:ascii="Arial" w:hAnsi="Arial" w:cs="Arial"/>
          <w:b/>
          <w:lang w:val="en-US" w:eastAsia="zh-CN"/>
        </w:rPr>
        <w:t>, Nokia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Use case for </w:t>
      </w:r>
      <w:r>
        <w:rPr>
          <w:rFonts w:ascii="Arial" w:hAnsi="Arial" w:cs="Arial"/>
          <w:b/>
          <w:sz w:val="21"/>
          <w:szCs w:val="21"/>
          <w:lang w:val="en-US" w:eastAsia="zh-CN"/>
        </w:rPr>
        <w:t>observed service experience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analytics</w:t>
      </w:r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E124E0" w:rsidRDefault="005074B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E124E0" w:rsidRDefault="005074B2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E124E0" w:rsidRDefault="00E124E0">
      <w:pPr>
        <w:pStyle w:val="B1"/>
        <w:ind w:left="0" w:firstLine="0"/>
        <w:rPr>
          <w:lang w:val="en-US" w:eastAsia="zh-CN"/>
        </w:rPr>
      </w:pPr>
    </w:p>
    <w:p w:rsidR="00E124E0" w:rsidRDefault="005074B2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E124E0" w:rsidRDefault="005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E124E0" w:rsidRDefault="00E124E0">
      <w:pPr>
        <w:pStyle w:val="B1"/>
        <w:ind w:left="0" w:firstLine="0"/>
        <w:rPr>
          <w:lang w:eastAsia="zh-CN"/>
        </w:rPr>
      </w:pP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S2-2401068r12 which was postponed in SA2#160 AHE</w:t>
      </w:r>
      <w:r>
        <w:rPr>
          <w:rFonts w:hint="eastAsia"/>
          <w:lang w:val="en-US" w:eastAsia="zh-CN"/>
        </w:rPr>
        <w:t>, we get the following EN:</w:t>
      </w:r>
    </w:p>
    <w:p w:rsidR="00E124E0" w:rsidRDefault="005074B2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Editor’s Note: Whether/how NWDAF can provide labels during the training process when NWDAF and AF participate in VFL is FFS.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suggest to remove the EN because the way of obtaining the labels should be discussed in the solution phase rather than defined in the use case. </w:t>
      </w:r>
    </w:p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124E0" w:rsidRDefault="005074B2">
      <w:pPr>
        <w:pStyle w:val="2"/>
        <w:rPr>
          <w:lang w:val="en-US" w:eastAsia="zh-CN"/>
        </w:rPr>
      </w:pPr>
      <w:bookmarkStart w:id="0" w:name="_Toc462658743"/>
      <w:bookmarkStart w:id="1" w:name="_Toc492719432"/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</w:t>
      </w:r>
      <w:proofErr w:type="gram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>NWDAF support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observed service experience analytics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E124E0" w:rsidRDefault="005074B2">
      <w:pPr>
        <w:pStyle w:val="3"/>
        <w:rPr>
          <w:lang w:val="en-US" w:eastAsia="ko-KR"/>
        </w:rPr>
      </w:pPr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.x.2.x.1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0"/>
    <w:p w:rsidR="00E124E0" w:rsidRDefault="005074B2">
      <w:pPr>
        <w:pStyle w:val="B1"/>
        <w:ind w:left="0" w:firstLine="0"/>
        <w:rPr>
          <w:rFonts w:eastAsia="Yu Mincho"/>
          <w:lang w:val="en-US"/>
        </w:rPr>
      </w:pPr>
      <w:r>
        <w:rPr>
          <w:lang w:val="en-US" w:eastAsia="zh-CN"/>
        </w:rPr>
        <w:t xml:space="preserve">When NWDAF provides </w:t>
      </w:r>
      <w:r>
        <w:rPr>
          <w:rFonts w:hint="eastAsia"/>
          <w:lang w:val="en-US" w:eastAsia="zh-CN"/>
        </w:rPr>
        <w:t>observed service experience</w:t>
      </w:r>
      <w:r>
        <w:rPr>
          <w:lang w:val="en-US" w:eastAsia="zh-CN"/>
        </w:rPr>
        <w:t xml:space="preserve"> analytics, as in other analytics that require input data from the AF, policies in the PLMN and or the AF may prevent raw data to be exchanged</w:t>
      </w:r>
      <w:r>
        <w:rPr>
          <w:rFonts w:hint="eastAsia"/>
          <w:lang w:val="en-US" w:eastAsia="zh-CN"/>
        </w:rPr>
        <w:t xml:space="preserve"> directly between NWDAF and </w:t>
      </w:r>
      <w:r>
        <w:rPr>
          <w:lang w:val="en-US" w:eastAsia="zh-CN"/>
        </w:rPr>
        <w:t xml:space="preserve">an external </w:t>
      </w:r>
      <w:r>
        <w:rPr>
          <w:rFonts w:hint="eastAsia"/>
          <w:lang w:val="en-US" w:eastAsia="zh-CN"/>
        </w:rPr>
        <w:t>AF</w:t>
      </w:r>
      <w:r>
        <w:rPr>
          <w:lang w:val="en-US" w:eastAsia="zh-CN"/>
        </w:rPr>
        <w:t>, as NWDAF is in the PLMN and the AF is outside the PLMN and</w:t>
      </w:r>
      <w:r>
        <w:rPr>
          <w:rFonts w:hint="eastAsia"/>
          <w:lang w:val="en-US" w:eastAsia="zh-CN"/>
        </w:rPr>
        <w:t xml:space="preserve"> the user data has high privacy protection needs.</w:t>
      </w:r>
      <w:r>
        <w:rPr>
          <w:rFonts w:eastAsia="Yu Mincho" w:hint="cs"/>
          <w:lang w:val="en-US"/>
        </w:rPr>
        <w:t xml:space="preserve"> 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eastAsia="Yu Mincho"/>
          <w:lang w:val="en-US"/>
        </w:rPr>
        <w:t xml:space="preserve">Furthermore, NWDAF and AF may have different features of the same sample identity, which is a requirement of VFL. In such cases, </w:t>
      </w:r>
      <w:r>
        <w:rPr>
          <w:rFonts w:hint="eastAsia"/>
          <w:lang w:val="en-US" w:eastAsia="zh-CN"/>
        </w:rPr>
        <w:t xml:space="preserve">VFL can be very helpful to </w:t>
      </w:r>
      <w:r>
        <w:rPr>
          <w:lang w:val="en-US" w:eastAsia="zh-CN"/>
        </w:rPr>
        <w:t>break the data isolation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enable joint</w:t>
      </w:r>
      <w:r>
        <w:rPr>
          <w:rFonts w:hint="eastAsia"/>
          <w:lang w:val="en-US" w:eastAsia="zh-CN"/>
        </w:rPr>
        <w:t xml:space="preserve"> training between NWDAF and AF.</w:t>
      </w:r>
      <w:r>
        <w:rPr>
          <w:lang w:val="en-US" w:eastAsia="zh-CN"/>
        </w:rPr>
        <w:t xml:space="preserve"> However, regardless of the entities involved in VFL, the application of VFL among two entities requires alignment of samples and features to make sure the above VFL requirement is addressed.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Additionally, since the inference for VFL is also a distributed inference, no raw data will be shared in the inference as well as in the training. Each entity use</w:t>
      </w:r>
      <w:r w:rsidR="004E792B">
        <w:rPr>
          <w:lang w:val="en-US" w:eastAsia="zh-CN"/>
        </w:rPr>
        <w:t>s</w:t>
      </w:r>
      <w:r>
        <w:rPr>
          <w:lang w:val="en-US" w:eastAsia="zh-CN"/>
        </w:rPr>
        <w:t xml:space="preserve"> local data </w:t>
      </w:r>
      <w:r w:rsidR="004E792B">
        <w:rPr>
          <w:lang w:val="en-US" w:eastAsia="zh-CN"/>
        </w:rPr>
        <w:t xml:space="preserve">to </w:t>
      </w:r>
      <w:r>
        <w:rPr>
          <w:lang w:val="en-US" w:eastAsia="zh-CN"/>
        </w:rPr>
        <w:t>do the inference. And the output will be gathered to get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use case for observed service experience analytics is illustrated as follows. It provides the real user feedback to the network so that the network could self-optimize and offer customized services according to the true user needs. </w:t>
      </w:r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>, the AF</w:t>
      </w:r>
      <w:r w:rsidR="00043E6A">
        <w:rPr>
          <w:lang w:val="en-US" w:eastAsia="zh-CN"/>
        </w:rPr>
        <w:t>(s)</w:t>
      </w:r>
      <w:r>
        <w:rPr>
          <w:lang w:val="en-US" w:eastAsia="zh-CN"/>
        </w:rPr>
        <w:t xml:space="preserve"> and NWDAF may not be able to exchange the data directly</w:t>
      </w:r>
      <w:r w:rsidR="00043E6A">
        <w:rPr>
          <w:lang w:val="en-US" w:eastAsia="zh-CN"/>
        </w:rPr>
        <w:t xml:space="preserve"> (The NWDAF may interact with several AFs, e.g. to provide </w:t>
      </w:r>
      <w:r w:rsidR="00043E6A" w:rsidRPr="005D2CF1">
        <w:t>Service Experience for a Network Slice</w:t>
      </w:r>
      <w:r w:rsidR="00043E6A">
        <w:t>)</w:t>
      </w:r>
      <w:r>
        <w:rPr>
          <w:lang w:val="en-US" w:eastAsia="zh-CN"/>
        </w:rPr>
        <w:t xml:space="preserve">. 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NWDAF and AF can jointly participate to train an ML model for observed service experience. And they would do inference after the training respectively to generate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NWDAF and AF</w:t>
      </w:r>
      <w:r w:rsidR="00043E6A"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would collect their local training data, respectively (e.g., access speed, network access delay for NWDAF, stall time, frame rate for AF).</w:t>
      </w:r>
      <w:r>
        <w:rPr>
          <w:lang w:val="en-US" w:eastAsia="zh-CN"/>
        </w:rPr>
        <w:t xml:space="preserve"> Note that data collection at the AF is out of the scope of this use case.</w:t>
      </w:r>
      <w:r>
        <w:rPr>
          <w:rFonts w:hint="eastAsia"/>
          <w:lang w:val="en-US" w:eastAsia="zh-CN"/>
        </w:rPr>
        <w:t xml:space="preserve"> </w:t>
      </w:r>
    </w:p>
    <w:p w:rsidR="00E124E0" w:rsidRPr="00C54D02" w:rsidRDefault="005074B2">
      <w:pPr>
        <w:pStyle w:val="B1"/>
        <w:ind w:left="0" w:firstLine="0"/>
        <w:rPr>
          <w:lang w:val="en-US" w:eastAsia="zh-CN"/>
        </w:rPr>
      </w:pPr>
      <w:r w:rsidRPr="00C54D02">
        <w:rPr>
          <w:lang w:val="en-US" w:eastAsia="zh-CN"/>
        </w:rPr>
        <w:t>Two scenarios are identified in this case:</w:t>
      </w:r>
    </w:p>
    <w:p w:rsidR="00E124E0" w:rsidRPr="00E94AC3" w:rsidRDefault="005074B2">
      <w:pPr>
        <w:pStyle w:val="B1"/>
        <w:ind w:left="400" w:firstLine="0"/>
        <w:rPr>
          <w:highlight w:val="cyan"/>
          <w:lang w:val="en-US" w:eastAsia="zh-CN"/>
        </w:rPr>
      </w:pPr>
      <w:r w:rsidRPr="00E94AC3">
        <w:rPr>
          <w:highlight w:val="cyan"/>
          <w:lang w:val="en-US" w:eastAsia="zh-CN"/>
        </w:rPr>
        <w:lastRenderedPageBreak/>
        <w:t xml:space="preserve">Scenario 1: NWDAF </w:t>
      </w:r>
      <w:r w:rsidR="00C54D02" w:rsidRPr="00E94AC3">
        <w:rPr>
          <w:highlight w:val="cyan"/>
          <w:lang w:val="en-US" w:eastAsia="zh-CN"/>
        </w:rPr>
        <w:t xml:space="preserve">initiates VFL </w:t>
      </w:r>
      <w:r w:rsidRPr="00E94AC3">
        <w:rPr>
          <w:highlight w:val="cyan"/>
          <w:lang w:val="en-US" w:eastAsia="zh-CN"/>
        </w:rPr>
        <w:t>training process</w:t>
      </w:r>
      <w:r w:rsidR="00E94AC3">
        <w:rPr>
          <w:highlight w:val="cyan"/>
          <w:lang w:val="en-US" w:eastAsia="zh-CN"/>
        </w:rPr>
        <w:t>.</w:t>
      </w:r>
      <w:r w:rsidRPr="00E94AC3">
        <w:rPr>
          <w:highlight w:val="cyan"/>
          <w:lang w:val="en-US" w:eastAsia="zh-CN"/>
        </w:rPr>
        <w:t xml:space="preserve"> </w:t>
      </w:r>
    </w:p>
    <w:p w:rsidR="00E124E0" w:rsidRDefault="005074B2">
      <w:pPr>
        <w:pStyle w:val="B1"/>
        <w:ind w:left="400" w:firstLine="0"/>
        <w:rPr>
          <w:lang w:val="en-US" w:eastAsia="zh-CN"/>
        </w:rPr>
      </w:pPr>
      <w:r w:rsidRPr="00E94AC3">
        <w:rPr>
          <w:highlight w:val="cyan"/>
          <w:lang w:val="en-US" w:eastAsia="zh-CN"/>
        </w:rPr>
        <w:t xml:space="preserve">Scenario 2: AF </w:t>
      </w:r>
      <w:r w:rsidR="00C54D02" w:rsidRPr="00E94AC3">
        <w:rPr>
          <w:highlight w:val="cyan"/>
          <w:lang w:val="en-US" w:eastAsia="zh-CN"/>
        </w:rPr>
        <w:t>initiates VFL</w:t>
      </w:r>
      <w:r w:rsidRPr="00E94AC3">
        <w:rPr>
          <w:highlight w:val="cyan"/>
          <w:lang w:val="en-US" w:eastAsia="zh-CN"/>
        </w:rPr>
        <w:t xml:space="preserve"> training process</w:t>
      </w:r>
      <w:r w:rsidR="00E94AC3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043E6A" w:rsidRPr="00600D91" w:rsidRDefault="00043E6A">
      <w:pPr>
        <w:pStyle w:val="NO"/>
        <w:ind w:left="0" w:firstLine="0"/>
        <w:rPr>
          <w:lang w:eastAsia="zh-CN"/>
        </w:rPr>
      </w:pPr>
      <w:r>
        <w:t>This use case is also applicable for other analytics where AF and NWDAF can collaborate, e.g., DN Performance Analytics.</w:t>
      </w:r>
      <w:bookmarkStart w:id="2" w:name="_GoBack"/>
      <w:bookmarkEnd w:id="2"/>
    </w:p>
    <w:p w:rsidR="00E124E0" w:rsidRDefault="005074B2">
      <w:pPr>
        <w:pStyle w:val="NO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NOTE </w:t>
      </w:r>
      <w:r w:rsidR="00043E6A">
        <w:rPr>
          <w:lang w:val="en-US" w:eastAsia="zh-CN"/>
        </w:rPr>
        <w:t>1</w:t>
      </w:r>
      <w:r>
        <w:rPr>
          <w:lang w:val="en-US" w:eastAsia="zh-CN"/>
        </w:rPr>
        <w:t>: This use case is applicable only if the AF is capable of participating in VFL procedure as a training entity. AF ML model training specification is out-of-scope.</w:t>
      </w:r>
    </w:p>
    <w:p w:rsidR="005528F6" w:rsidRDefault="005528F6">
      <w:pPr>
        <w:pStyle w:val="NO"/>
        <w:ind w:left="0" w:firstLine="0"/>
        <w:rPr>
          <w:lang w:val="en-US" w:eastAsia="zh-CN"/>
        </w:rPr>
      </w:pPr>
      <w:r w:rsidRPr="00E94AC3">
        <w:rPr>
          <w:highlight w:val="cyan"/>
          <w:lang w:val="en-US" w:eastAsia="zh-CN"/>
        </w:rPr>
        <w:t xml:space="preserve">NOTE2: </w:t>
      </w:r>
      <w:r w:rsidR="00C54D02" w:rsidRPr="00E94AC3">
        <w:rPr>
          <w:highlight w:val="cyan"/>
          <w:lang w:val="en-US" w:eastAsia="zh-CN"/>
        </w:rPr>
        <w:t xml:space="preserve">When AF initiates the VFL, then only one AF is involved. When the NWDAF initiates the VFL, then </w:t>
      </w:r>
      <w:r w:rsidRPr="00E94AC3">
        <w:rPr>
          <w:highlight w:val="cyan"/>
          <w:lang w:val="en-US" w:eastAsia="zh-CN"/>
        </w:rPr>
        <w:t xml:space="preserve">multiple AFs </w:t>
      </w:r>
      <w:r w:rsidR="00C54D02" w:rsidRPr="00E94AC3">
        <w:rPr>
          <w:highlight w:val="cyan"/>
          <w:lang w:val="en-US" w:eastAsia="zh-CN"/>
        </w:rPr>
        <w:t xml:space="preserve">can be </w:t>
      </w:r>
      <w:r w:rsidRPr="00E94AC3">
        <w:rPr>
          <w:highlight w:val="cyan"/>
          <w:lang w:val="en-US" w:eastAsia="zh-CN"/>
        </w:rPr>
        <w:t>involved.</w:t>
      </w:r>
      <w:r w:rsidR="00C54D02">
        <w:rPr>
          <w:lang w:val="en-US" w:eastAsia="zh-CN"/>
        </w:rPr>
        <w:t xml:space="preserve"> </w:t>
      </w:r>
    </w:p>
    <w:bookmarkEnd w:id="1"/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E124E0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C37" w:rsidRDefault="00C77C37">
      <w:pPr>
        <w:spacing w:after="0"/>
      </w:pPr>
      <w:r>
        <w:separator/>
      </w:r>
    </w:p>
  </w:endnote>
  <w:endnote w:type="continuationSeparator" w:id="0">
    <w:p w:rsidR="00C77C37" w:rsidRDefault="00C77C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124E0" w:rsidRDefault="005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124E0" w:rsidRDefault="00E124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C37" w:rsidRDefault="00C77C37">
      <w:pPr>
        <w:spacing w:after="0"/>
      </w:pPr>
      <w:r>
        <w:separator/>
      </w:r>
    </w:p>
  </w:footnote>
  <w:footnote w:type="continuationSeparator" w:id="0">
    <w:p w:rsidR="00C77C37" w:rsidRDefault="00C77C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E124E0"/>
  <w:p w:rsidR="00E124E0" w:rsidRDefault="00E124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124E0" w:rsidRDefault="005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609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124E0" w:rsidRDefault="00E124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5B02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3E6A"/>
    <w:rsid w:val="00044048"/>
    <w:rsid w:val="00044DA7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5D05"/>
    <w:rsid w:val="00056674"/>
    <w:rsid w:val="000568A2"/>
    <w:rsid w:val="000568CB"/>
    <w:rsid w:val="00057893"/>
    <w:rsid w:val="0006068D"/>
    <w:rsid w:val="00060CE2"/>
    <w:rsid w:val="00062F4A"/>
    <w:rsid w:val="000637C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24EC1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4EF2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2C9F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67FAF"/>
    <w:rsid w:val="0037001E"/>
    <w:rsid w:val="00371780"/>
    <w:rsid w:val="0037220F"/>
    <w:rsid w:val="00372B9B"/>
    <w:rsid w:val="003742C3"/>
    <w:rsid w:val="00374421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1868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40CC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2B67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E792B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4B2"/>
    <w:rsid w:val="00507B88"/>
    <w:rsid w:val="00510DBF"/>
    <w:rsid w:val="00511562"/>
    <w:rsid w:val="00516133"/>
    <w:rsid w:val="00517C1F"/>
    <w:rsid w:val="005221BD"/>
    <w:rsid w:val="00522512"/>
    <w:rsid w:val="00522B5B"/>
    <w:rsid w:val="00523690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8F6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83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6B32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0D91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2609D"/>
    <w:rsid w:val="00630798"/>
    <w:rsid w:val="00632DDB"/>
    <w:rsid w:val="0063375A"/>
    <w:rsid w:val="0063391B"/>
    <w:rsid w:val="00634376"/>
    <w:rsid w:val="0063673F"/>
    <w:rsid w:val="00637213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7DC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607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16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2833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36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20CB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13B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156B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D9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664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17EBA"/>
    <w:rsid w:val="00C21A8D"/>
    <w:rsid w:val="00C236C7"/>
    <w:rsid w:val="00C23922"/>
    <w:rsid w:val="00C24755"/>
    <w:rsid w:val="00C250D5"/>
    <w:rsid w:val="00C26464"/>
    <w:rsid w:val="00C26DB4"/>
    <w:rsid w:val="00C26F12"/>
    <w:rsid w:val="00C26F4C"/>
    <w:rsid w:val="00C27F60"/>
    <w:rsid w:val="00C31567"/>
    <w:rsid w:val="00C32190"/>
    <w:rsid w:val="00C35090"/>
    <w:rsid w:val="00C368B7"/>
    <w:rsid w:val="00C45EA1"/>
    <w:rsid w:val="00C47B70"/>
    <w:rsid w:val="00C47F6F"/>
    <w:rsid w:val="00C5480A"/>
    <w:rsid w:val="00C54D02"/>
    <w:rsid w:val="00C6133F"/>
    <w:rsid w:val="00C61FAC"/>
    <w:rsid w:val="00C622F7"/>
    <w:rsid w:val="00C63277"/>
    <w:rsid w:val="00C6550D"/>
    <w:rsid w:val="00C67D23"/>
    <w:rsid w:val="00C71A2A"/>
    <w:rsid w:val="00C71B34"/>
    <w:rsid w:val="00C732C9"/>
    <w:rsid w:val="00C73B0D"/>
    <w:rsid w:val="00C73B0F"/>
    <w:rsid w:val="00C742DE"/>
    <w:rsid w:val="00C74A1F"/>
    <w:rsid w:val="00C77062"/>
    <w:rsid w:val="00C77BA5"/>
    <w:rsid w:val="00C77C37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823"/>
    <w:rsid w:val="00C94FF4"/>
    <w:rsid w:val="00C95F34"/>
    <w:rsid w:val="00C96B81"/>
    <w:rsid w:val="00C9722E"/>
    <w:rsid w:val="00C97642"/>
    <w:rsid w:val="00CA2F33"/>
    <w:rsid w:val="00CA4A0A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4813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1305"/>
    <w:rsid w:val="00DB2C84"/>
    <w:rsid w:val="00DB724F"/>
    <w:rsid w:val="00DB72E2"/>
    <w:rsid w:val="00DB7D65"/>
    <w:rsid w:val="00DC0A57"/>
    <w:rsid w:val="00DC259D"/>
    <w:rsid w:val="00DC31A6"/>
    <w:rsid w:val="00DC597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24E0"/>
    <w:rsid w:val="00E1514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566"/>
    <w:rsid w:val="00E93635"/>
    <w:rsid w:val="00E94A06"/>
    <w:rsid w:val="00E94AC3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191E"/>
    <w:rsid w:val="00EC264B"/>
    <w:rsid w:val="00EC3BCF"/>
    <w:rsid w:val="00EC63BD"/>
    <w:rsid w:val="00EC7874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711"/>
    <w:rsid w:val="00EE3B2E"/>
    <w:rsid w:val="00EE4601"/>
    <w:rsid w:val="00EF02B3"/>
    <w:rsid w:val="00EF0856"/>
    <w:rsid w:val="00EF0C93"/>
    <w:rsid w:val="00EF26D9"/>
    <w:rsid w:val="00F0063A"/>
    <w:rsid w:val="00F006A0"/>
    <w:rsid w:val="00F01986"/>
    <w:rsid w:val="00F03EB9"/>
    <w:rsid w:val="00F045CB"/>
    <w:rsid w:val="00F04B3A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2005"/>
    <w:rsid w:val="00FB47D1"/>
    <w:rsid w:val="00FB56AB"/>
    <w:rsid w:val="00FB777A"/>
    <w:rsid w:val="00FB78AE"/>
    <w:rsid w:val="00FC1B09"/>
    <w:rsid w:val="00FC2DFF"/>
    <w:rsid w:val="00FC67EF"/>
    <w:rsid w:val="00FC68FD"/>
    <w:rsid w:val="00FC7759"/>
    <w:rsid w:val="00FC7CB8"/>
    <w:rsid w:val="00FD0D5C"/>
    <w:rsid w:val="00FD2B4C"/>
    <w:rsid w:val="00FD3534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A3155A3"/>
    <w:rsid w:val="0C9949B9"/>
    <w:rsid w:val="0DB55D24"/>
    <w:rsid w:val="13D11213"/>
    <w:rsid w:val="1F4A5BA7"/>
    <w:rsid w:val="23923F52"/>
    <w:rsid w:val="294A7173"/>
    <w:rsid w:val="2C866019"/>
    <w:rsid w:val="2E4D5985"/>
    <w:rsid w:val="3B571322"/>
    <w:rsid w:val="3C2F122E"/>
    <w:rsid w:val="3CFD5B20"/>
    <w:rsid w:val="407F03AA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92662"/>
  <w15:docId w15:val="{FA76FB2B-1832-4921-BC54-1A6E03AE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1">
    <w:name w:val="修订2"/>
    <w:hidden/>
    <w:uiPriority w:val="99"/>
    <w:semiHidden/>
    <w:qFormat/>
    <w:rPr>
      <w:color w:val="000000"/>
      <w:lang w:val="en-GB" w:eastAsia="ja-JP"/>
    </w:rPr>
  </w:style>
  <w:style w:type="paragraph" w:customStyle="1" w:styleId="13">
    <w:name w:val="変更箇所1"/>
    <w:hidden/>
    <w:uiPriority w:val="99"/>
    <w:semiHidden/>
    <w:qFormat/>
    <w:rPr>
      <w:color w:val="000000"/>
      <w:lang w:val="en-GB" w:eastAsia="ja-JP"/>
    </w:rPr>
  </w:style>
  <w:style w:type="paragraph" w:customStyle="1" w:styleId="TN">
    <w:name w:val="TN"/>
    <w:basedOn w:val="no0"/>
    <w:qFormat/>
  </w:style>
  <w:style w:type="paragraph" w:customStyle="1" w:styleId="31">
    <w:name w:val="修订3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520</Words>
  <Characters>2965</Characters>
  <Application>Microsoft Office Word</Application>
  <DocSecurity>0</DocSecurity>
  <Lines>24</Lines>
  <Paragraphs>6</Paragraphs>
  <ScaleCrop>false</ScaleCrop>
  <Company>ETSI/MCC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user3</cp:lastModifiedBy>
  <cp:revision>12</cp:revision>
  <cp:lastPrinted>2003-09-26T03:29:00Z</cp:lastPrinted>
  <dcterms:created xsi:type="dcterms:W3CDTF">2024-02-20T11:51:00Z</dcterms:created>
  <dcterms:modified xsi:type="dcterms:W3CDTF">2024-02-29T14:52:00Z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(3)DJMUpzs60qDHtJJHX5zgsofhygVFHxkDbK4AQ9gJbDtYi8iOQqLKJ6hbNxuqncDeD3yx38kw
xdiAK594K1oxTqTWnqOACH8zKJY6c+jhJHNJNwoBxrGWwTZcXWK/4bJrsFhVI8Cf5DnVxvme
953QN5kHu8b/Nd7HLje3gTZrkG1wf+8NvuUGyVJOzfZruAQy1NsKEp6aexhmUU0bfnuSW0bL
gjRqaBjvEdehBoQ1kL</vt:lpwstr>
  </property>
  <property fmtid="{D5CDD505-2E9C-101B-9397-08002B2CF9AE}" pid="3" name="_2015_ms_pID_7253431">
    <vt:lpwstr>DSM2OHbjYPV44XOGi3JUp/jpiVupX4a4xMFfQSdOzPWXT6lToCC8Kf
6fFuCs5Lrg4W2xzkq0YJLOL3GL47oMafYAbZWQzVD3DJQUQBRli2nr42GCjzKrssR9hOLDh5
cB9FIyJ9fkXYQfyhM5cfOCm9j/K/TnDPo3r3xjwFnWPbF3QQ87YoJ0fpN/aLiwh8u4jYepc9
dZq8lAuAH/LfK4sTq5SeGRgmCHwpwc2tB++M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  <property fmtid="{D5CDD505-2E9C-101B-9397-08002B2CF9AE}" pid="18" name="_2015_ms_pID_7253432">
    <vt:lpwstr>YA==</vt:lpwstr>
  </property>
</Properties>
</file>